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9BB2" w14:textId="03B1B071" w:rsidR="006D12F3" w:rsidRPr="006C7FF4" w:rsidRDefault="0057188A" w:rsidP="00011280">
      <w:pPr>
        <w:pStyle w:val="Subtitle"/>
        <w:spacing w:after="0" w:line="240" w:lineRule="auto"/>
        <w:jc w:val="center"/>
        <w:rPr>
          <w:b/>
          <w:color w:val="FF0000"/>
          <w:sz w:val="24"/>
          <w:szCs w:val="24"/>
        </w:rPr>
      </w:pPr>
      <w:r w:rsidRPr="006C7FF4">
        <w:rPr>
          <w:b/>
          <w:color w:val="FF0000"/>
          <w:sz w:val="24"/>
          <w:szCs w:val="24"/>
        </w:rPr>
        <w:t>*UNDER EMBARGO UNTIL WEDNESDAY, JUNE 12 AT 10:00 a.m. EDT / 16:00 CEST</w:t>
      </w:r>
      <w:r w:rsidR="00011280" w:rsidRPr="006C7FF4">
        <w:rPr>
          <w:b/>
          <w:color w:val="FF0000"/>
          <w:sz w:val="24"/>
          <w:szCs w:val="24"/>
        </w:rPr>
        <w:t>*</w:t>
      </w:r>
    </w:p>
    <w:p w14:paraId="2D249150" w14:textId="77777777" w:rsidR="00721EED" w:rsidRDefault="00721EED" w:rsidP="00647851">
      <w:pPr>
        <w:spacing w:after="0" w:line="240" w:lineRule="auto"/>
        <w:rPr>
          <w:rFonts w:cs="Arial"/>
          <w:b/>
          <w:sz w:val="26"/>
          <w:szCs w:val="26"/>
        </w:rPr>
      </w:pPr>
      <w:bookmarkStart w:id="0" w:name="_GoBack"/>
      <w:bookmarkEnd w:id="0"/>
    </w:p>
    <w:p w14:paraId="3C995A31" w14:textId="4E4A9C31" w:rsidR="00785551" w:rsidRDefault="006D12F3" w:rsidP="00785551">
      <w:pPr>
        <w:spacing w:after="0" w:line="240" w:lineRule="auto"/>
        <w:jc w:val="center"/>
        <w:rPr>
          <w:rFonts w:cs="Arial"/>
          <w:b/>
          <w:sz w:val="26"/>
          <w:szCs w:val="26"/>
        </w:rPr>
      </w:pPr>
      <w:r>
        <w:rPr>
          <w:rFonts w:cs="Arial"/>
          <w:b/>
          <w:sz w:val="26"/>
          <w:szCs w:val="26"/>
        </w:rPr>
        <w:t xml:space="preserve">World Trade Centers Association Report </w:t>
      </w:r>
      <w:r w:rsidR="006E7693">
        <w:rPr>
          <w:rFonts w:cs="Arial"/>
          <w:b/>
          <w:sz w:val="26"/>
          <w:szCs w:val="26"/>
        </w:rPr>
        <w:t>Highlights City-Resiliency Strategies, Indicat</w:t>
      </w:r>
      <w:r w:rsidR="000F2241">
        <w:rPr>
          <w:rFonts w:cs="Arial"/>
          <w:b/>
          <w:sz w:val="26"/>
          <w:szCs w:val="26"/>
        </w:rPr>
        <w:t>es</w:t>
      </w:r>
      <w:r w:rsidR="006E7693">
        <w:rPr>
          <w:rFonts w:cs="Arial"/>
          <w:b/>
          <w:sz w:val="26"/>
          <w:szCs w:val="26"/>
        </w:rPr>
        <w:t xml:space="preserve"> that Trade </w:t>
      </w:r>
      <w:r w:rsidR="000E20FB">
        <w:rPr>
          <w:rFonts w:cs="Arial"/>
          <w:b/>
          <w:sz w:val="26"/>
          <w:szCs w:val="26"/>
        </w:rPr>
        <w:t xml:space="preserve">and Investment </w:t>
      </w:r>
      <w:r w:rsidR="006E7693">
        <w:rPr>
          <w:rFonts w:cs="Arial"/>
          <w:b/>
          <w:sz w:val="26"/>
          <w:szCs w:val="26"/>
        </w:rPr>
        <w:t>Damage May be More Extensive than Predicted</w:t>
      </w:r>
    </w:p>
    <w:p w14:paraId="53D2ACD1" w14:textId="2F35C37D" w:rsidR="006D12F3" w:rsidRPr="002E1262" w:rsidRDefault="006D12F3" w:rsidP="009B7079">
      <w:pPr>
        <w:spacing w:after="0" w:line="240" w:lineRule="auto"/>
        <w:jc w:val="center"/>
        <w:rPr>
          <w:rFonts w:cs="Arial"/>
          <w:b/>
          <w:sz w:val="26"/>
          <w:szCs w:val="26"/>
        </w:rPr>
      </w:pPr>
      <w:r>
        <w:rPr>
          <w:rFonts w:cs="Arial"/>
          <w:b/>
          <w:sz w:val="26"/>
          <w:szCs w:val="26"/>
        </w:rPr>
        <w:t xml:space="preserve"> </w:t>
      </w:r>
    </w:p>
    <w:p w14:paraId="543CADC2" w14:textId="1F56DD7E" w:rsidR="006D12F3" w:rsidRDefault="000E20FB" w:rsidP="00785551">
      <w:pPr>
        <w:spacing w:after="0" w:line="240" w:lineRule="auto"/>
        <w:jc w:val="center"/>
        <w:rPr>
          <w:rFonts w:cs="Arial"/>
          <w:i/>
        </w:rPr>
      </w:pPr>
      <w:r>
        <w:rPr>
          <w:rFonts w:cs="Arial"/>
          <w:i/>
        </w:rPr>
        <w:t>Original data analysis and in-depth-interviews reveal the perils facing global growth prospects, underlying opportunities and practitioners’ view</w:t>
      </w:r>
      <w:r w:rsidR="009B7079">
        <w:rPr>
          <w:rFonts w:cs="Arial"/>
          <w:i/>
        </w:rPr>
        <w:t>s</w:t>
      </w:r>
      <w:r>
        <w:rPr>
          <w:rFonts w:cs="Arial"/>
          <w:i/>
        </w:rPr>
        <w:t xml:space="preserve"> on how to navigate both</w:t>
      </w:r>
    </w:p>
    <w:p w14:paraId="62AC1B79" w14:textId="77777777" w:rsidR="00785551" w:rsidRPr="006D12F3" w:rsidRDefault="00785551" w:rsidP="009B7079">
      <w:pPr>
        <w:spacing w:after="0" w:line="240" w:lineRule="auto"/>
        <w:jc w:val="center"/>
        <w:rPr>
          <w:rFonts w:cs="Arial"/>
          <w:i/>
        </w:rPr>
      </w:pPr>
    </w:p>
    <w:p w14:paraId="5987B364" w14:textId="6C3C6B32" w:rsidR="00FD0174" w:rsidRDefault="006D12F3" w:rsidP="00785551">
      <w:pPr>
        <w:pStyle w:val="NormalWeb"/>
        <w:shd w:val="clear" w:color="auto" w:fill="FFFFFF"/>
        <w:spacing w:before="0" w:beforeAutospacing="0" w:after="0" w:afterAutospacing="0"/>
        <w:rPr>
          <w:rFonts w:asciiTheme="minorHAnsi" w:hAnsiTheme="minorHAnsi" w:cs="Arial"/>
          <w:sz w:val="22"/>
          <w:szCs w:val="22"/>
        </w:rPr>
      </w:pPr>
      <w:r w:rsidRPr="000C31DC">
        <w:rPr>
          <w:rFonts w:asciiTheme="minorHAnsi" w:hAnsiTheme="minorHAnsi" w:cs="Arial"/>
          <w:b/>
          <w:sz w:val="22"/>
          <w:szCs w:val="22"/>
        </w:rPr>
        <w:t xml:space="preserve">NEW YORK, NY – </w:t>
      </w:r>
      <w:r>
        <w:rPr>
          <w:rFonts w:asciiTheme="minorHAnsi" w:hAnsiTheme="minorHAnsi" w:cs="Arial"/>
          <w:b/>
          <w:sz w:val="22"/>
          <w:szCs w:val="22"/>
        </w:rPr>
        <w:t>June 12,</w:t>
      </w:r>
      <w:r w:rsidRPr="000C31DC">
        <w:rPr>
          <w:rFonts w:asciiTheme="minorHAnsi" w:hAnsiTheme="minorHAnsi" w:cs="Arial"/>
          <w:b/>
          <w:sz w:val="22"/>
          <w:szCs w:val="22"/>
        </w:rPr>
        <w:t xml:space="preserve"> 2019</w:t>
      </w:r>
      <w:r w:rsidRPr="000C31DC">
        <w:rPr>
          <w:rFonts w:asciiTheme="minorHAnsi" w:hAnsiTheme="minorHAnsi" w:cs="Arial"/>
          <w:sz w:val="22"/>
          <w:szCs w:val="22"/>
        </w:rPr>
        <w:t xml:space="preserve"> – </w:t>
      </w:r>
      <w:r>
        <w:rPr>
          <w:rFonts w:asciiTheme="minorHAnsi" w:hAnsiTheme="minorHAnsi" w:cs="Arial"/>
          <w:sz w:val="22"/>
          <w:szCs w:val="22"/>
        </w:rPr>
        <w:t xml:space="preserve">Today </w:t>
      </w:r>
      <w:hyperlink r:id="rId7" w:history="1">
        <w:r w:rsidRPr="00892B84">
          <w:rPr>
            <w:rStyle w:val="Hyperlink"/>
            <w:rFonts w:asciiTheme="minorHAnsi" w:hAnsiTheme="minorHAnsi" w:cs="Arial"/>
            <w:sz w:val="22"/>
            <w:szCs w:val="22"/>
          </w:rPr>
          <w:t>The World Trade Centers Association</w:t>
        </w:r>
      </w:hyperlink>
      <w:r w:rsidR="00DC2D97">
        <w:rPr>
          <w:rFonts w:asciiTheme="minorHAnsi" w:hAnsiTheme="minorHAnsi" w:cs="Arial"/>
          <w:sz w:val="22"/>
          <w:szCs w:val="22"/>
        </w:rPr>
        <w:t xml:space="preserve"> (WTCA), of which World Trade Center </w:t>
      </w:r>
      <w:r w:rsidR="00DC2D97" w:rsidRPr="00C76F1C">
        <w:rPr>
          <w:rFonts w:asciiTheme="minorHAnsi" w:hAnsiTheme="minorHAnsi" w:cs="Arial"/>
          <w:b/>
          <w:sz w:val="22"/>
          <w:szCs w:val="22"/>
        </w:rPr>
        <w:t>[</w:t>
      </w:r>
      <w:r w:rsidR="00C76F1C" w:rsidRPr="00C76F1C">
        <w:rPr>
          <w:rFonts w:asciiTheme="minorHAnsi" w:hAnsiTheme="minorHAnsi" w:cs="Arial"/>
          <w:b/>
          <w:sz w:val="22"/>
          <w:szCs w:val="22"/>
          <w:highlight w:val="yellow"/>
        </w:rPr>
        <w:t>INSERT LOCATION</w:t>
      </w:r>
      <w:r w:rsidR="00DC2D97" w:rsidRPr="00C76F1C">
        <w:rPr>
          <w:rFonts w:asciiTheme="minorHAnsi" w:hAnsiTheme="minorHAnsi" w:cs="Arial"/>
          <w:b/>
          <w:sz w:val="22"/>
          <w:szCs w:val="22"/>
        </w:rPr>
        <w:t>]</w:t>
      </w:r>
      <w:r w:rsidR="00DC2D97">
        <w:rPr>
          <w:rFonts w:asciiTheme="minorHAnsi" w:hAnsiTheme="minorHAnsi" w:cs="Arial"/>
          <w:sz w:val="22"/>
          <w:szCs w:val="22"/>
        </w:rPr>
        <w:t xml:space="preserve"> is a member,</w:t>
      </w:r>
      <w:r>
        <w:rPr>
          <w:rFonts w:asciiTheme="minorHAnsi" w:hAnsiTheme="minorHAnsi" w:cs="Arial"/>
          <w:sz w:val="22"/>
          <w:szCs w:val="22"/>
        </w:rPr>
        <w:t xml:space="preserve"> unveiled its second annual Trade and Investment Report </w:t>
      </w:r>
      <w:r w:rsidR="00A91DA5">
        <w:rPr>
          <w:rFonts w:asciiTheme="minorHAnsi" w:hAnsiTheme="minorHAnsi" w:cs="Arial"/>
          <w:sz w:val="22"/>
          <w:szCs w:val="22"/>
        </w:rPr>
        <w:t>(</w:t>
      </w:r>
      <w:hyperlink r:id="rId8" w:history="1">
        <w:r w:rsidR="00913C15" w:rsidRPr="00913C15">
          <w:rPr>
            <w:rStyle w:val="Hyperlink"/>
            <w:rFonts w:asciiTheme="minorHAnsi" w:hAnsiTheme="minorHAnsi" w:cs="Arial"/>
            <w:sz w:val="22"/>
            <w:szCs w:val="22"/>
          </w:rPr>
          <w:t>www.WTCAReports.org</w:t>
        </w:r>
      </w:hyperlink>
      <w:r w:rsidR="00A91DA5">
        <w:rPr>
          <w:rFonts w:asciiTheme="minorHAnsi" w:hAnsiTheme="minorHAnsi" w:cs="Arial"/>
          <w:sz w:val="22"/>
          <w:szCs w:val="22"/>
        </w:rPr>
        <w:t>)</w:t>
      </w:r>
      <w:r w:rsidR="00100120">
        <w:rPr>
          <w:rFonts w:asciiTheme="minorHAnsi" w:hAnsiTheme="minorHAnsi" w:cs="Arial"/>
          <w:sz w:val="22"/>
          <w:szCs w:val="22"/>
        </w:rPr>
        <w:t>, c</w:t>
      </w:r>
      <w:r w:rsidR="00100120" w:rsidRPr="00B45E0D">
        <w:rPr>
          <w:rFonts w:asciiTheme="minorHAnsi" w:hAnsiTheme="minorHAnsi" w:cs="Arial"/>
          <w:sz w:val="22"/>
          <w:szCs w:val="22"/>
        </w:rPr>
        <w:t>onducted in partnership with</w:t>
      </w:r>
      <w:bookmarkStart w:id="1" w:name="_Hlk10658507"/>
      <w:r w:rsidR="009B7079">
        <w:rPr>
          <w:rFonts w:asciiTheme="minorHAnsi" w:hAnsiTheme="minorHAnsi" w:cs="Arial"/>
          <w:sz w:val="22"/>
          <w:szCs w:val="22"/>
        </w:rPr>
        <w:t xml:space="preserve">  </w:t>
      </w:r>
      <w:hyperlink r:id="rId9" w:history="1">
        <w:r w:rsidR="009B7079" w:rsidRPr="00BB51F2">
          <w:rPr>
            <w:rStyle w:val="Hyperlink"/>
            <w:rFonts w:asciiTheme="minorHAnsi" w:hAnsiTheme="minorHAnsi" w:cs="Arial"/>
            <w:sz w:val="22"/>
            <w:szCs w:val="22"/>
          </w:rPr>
          <w:t>FP Analytics</w:t>
        </w:r>
      </w:hyperlink>
      <w:r w:rsidR="009B7079">
        <w:rPr>
          <w:rFonts w:asciiTheme="minorHAnsi" w:hAnsiTheme="minorHAnsi" w:cs="Arial"/>
          <w:sz w:val="22"/>
          <w:szCs w:val="22"/>
        </w:rPr>
        <w:t xml:space="preserve">. The report details </w:t>
      </w:r>
      <w:r w:rsidR="00AD27FD">
        <w:rPr>
          <w:rFonts w:asciiTheme="minorHAnsi" w:hAnsiTheme="minorHAnsi" w:cs="Arial"/>
          <w:sz w:val="22"/>
          <w:szCs w:val="22"/>
        </w:rPr>
        <w:t xml:space="preserve">the </w:t>
      </w:r>
      <w:r w:rsidR="00AD27FD" w:rsidRPr="00FD3EC4">
        <w:rPr>
          <w:rFonts w:asciiTheme="minorHAnsi" w:hAnsiTheme="minorHAnsi" w:cs="Arial"/>
          <w:sz w:val="22"/>
          <w:szCs w:val="22"/>
        </w:rPr>
        <w:t xml:space="preserve">key factors that </w:t>
      </w:r>
      <w:r w:rsidR="006E7693">
        <w:rPr>
          <w:rFonts w:asciiTheme="minorHAnsi" w:hAnsiTheme="minorHAnsi" w:cs="Arial"/>
          <w:sz w:val="22"/>
          <w:szCs w:val="22"/>
        </w:rPr>
        <w:t>enable cities to remain resilient</w:t>
      </w:r>
      <w:r w:rsidR="00AD27FD">
        <w:rPr>
          <w:rFonts w:asciiTheme="minorHAnsi" w:hAnsiTheme="minorHAnsi" w:cs="Arial"/>
          <w:sz w:val="22"/>
          <w:szCs w:val="22"/>
        </w:rPr>
        <w:t xml:space="preserve"> </w:t>
      </w:r>
      <w:r w:rsidR="000E20FB">
        <w:rPr>
          <w:rFonts w:asciiTheme="minorHAnsi" w:hAnsiTheme="minorHAnsi" w:cs="Arial"/>
          <w:sz w:val="22"/>
          <w:szCs w:val="22"/>
        </w:rPr>
        <w:t xml:space="preserve">as dramatic shifts in trade-and-investment policies </w:t>
      </w:r>
      <w:r w:rsidR="000E20FB" w:rsidRPr="000E20FB">
        <w:rPr>
          <w:rFonts w:asciiTheme="minorHAnsi" w:hAnsiTheme="minorHAnsi" w:cs="Arial"/>
          <w:sz w:val="22"/>
          <w:szCs w:val="22"/>
        </w:rPr>
        <w:t>intensify</w:t>
      </w:r>
      <w:r w:rsidR="000F2241">
        <w:rPr>
          <w:rFonts w:asciiTheme="minorHAnsi" w:hAnsiTheme="minorHAnsi" w:cs="Arial"/>
          <w:sz w:val="22"/>
          <w:szCs w:val="22"/>
        </w:rPr>
        <w:t xml:space="preserve"> economic</w:t>
      </w:r>
      <w:r w:rsidR="000E20FB" w:rsidRPr="000E20FB">
        <w:rPr>
          <w:rFonts w:asciiTheme="minorHAnsi" w:hAnsiTheme="minorHAnsi" w:cs="Arial"/>
          <w:sz w:val="22"/>
          <w:szCs w:val="22"/>
        </w:rPr>
        <w:t xml:space="preserve"> competition.</w:t>
      </w:r>
      <w:r w:rsidR="000E20FB">
        <w:rPr>
          <w:rFonts w:asciiTheme="minorHAnsi" w:hAnsiTheme="minorHAnsi" w:cs="Arial"/>
          <w:sz w:val="22"/>
          <w:szCs w:val="22"/>
        </w:rPr>
        <w:t xml:space="preserve"> Moreover, on-the-ground insights from interviews with WTCA members </w:t>
      </w:r>
      <w:r w:rsidR="006B7958">
        <w:rPr>
          <w:rFonts w:asciiTheme="minorHAnsi" w:hAnsiTheme="minorHAnsi" w:cs="Arial"/>
          <w:sz w:val="22"/>
          <w:szCs w:val="22"/>
        </w:rPr>
        <w:t xml:space="preserve">around the world </w:t>
      </w:r>
      <w:r w:rsidR="000E20FB">
        <w:rPr>
          <w:rFonts w:asciiTheme="minorHAnsi" w:hAnsiTheme="minorHAnsi" w:cs="Arial"/>
          <w:sz w:val="22"/>
          <w:szCs w:val="22"/>
        </w:rPr>
        <w:t xml:space="preserve">reveal that the damage being caused to global trade and investment may be worse than is currently </w:t>
      </w:r>
      <w:r w:rsidR="000F2241">
        <w:rPr>
          <w:rFonts w:asciiTheme="minorHAnsi" w:hAnsiTheme="minorHAnsi" w:cs="Arial"/>
          <w:sz w:val="22"/>
          <w:szCs w:val="22"/>
        </w:rPr>
        <w:t>captured by traditional indicators</w:t>
      </w:r>
      <w:r w:rsidR="000E20FB">
        <w:rPr>
          <w:rFonts w:asciiTheme="minorHAnsi" w:hAnsiTheme="minorHAnsi" w:cs="Arial"/>
          <w:sz w:val="22"/>
          <w:szCs w:val="22"/>
        </w:rPr>
        <w:t xml:space="preserve">. </w:t>
      </w:r>
    </w:p>
    <w:p w14:paraId="207AEBB4" w14:textId="77777777" w:rsidR="00FD0174" w:rsidRDefault="00FD0174" w:rsidP="009B7079">
      <w:pPr>
        <w:pStyle w:val="NormalWeb"/>
        <w:shd w:val="clear" w:color="auto" w:fill="FFFFFF"/>
        <w:spacing w:before="0" w:beforeAutospacing="0" w:after="0" w:afterAutospacing="0"/>
        <w:rPr>
          <w:rFonts w:asciiTheme="minorHAnsi" w:hAnsiTheme="minorHAnsi" w:cs="Arial"/>
          <w:sz w:val="22"/>
          <w:szCs w:val="22"/>
        </w:rPr>
      </w:pPr>
    </w:p>
    <w:p w14:paraId="080BBE4A" w14:textId="66E0AEC5" w:rsidR="00AD27FD" w:rsidRDefault="00100120" w:rsidP="009B7079">
      <w:pPr>
        <w:pStyle w:val="NormalWeb"/>
        <w:shd w:val="clear" w:color="auto" w:fill="FFFFFF"/>
        <w:spacing w:before="0" w:beforeAutospacing="0" w:after="0" w:afterAutospacing="0"/>
        <w:rPr>
          <w:rFonts w:asciiTheme="minorHAnsi" w:hAnsiTheme="minorHAnsi" w:cs="Arial"/>
          <w:sz w:val="22"/>
          <w:szCs w:val="22"/>
        </w:rPr>
      </w:pPr>
      <w:r w:rsidRPr="00100120">
        <w:rPr>
          <w:rFonts w:asciiTheme="minorHAnsi" w:hAnsiTheme="minorHAnsi" w:cs="Arial"/>
          <w:sz w:val="22"/>
          <w:szCs w:val="22"/>
        </w:rPr>
        <w:t xml:space="preserve">Global trade grew 3 percent in 2018, but tariffs and other causes of uncertainty have already led the World Trade Organization to reduce its growth forecasts for 2019 from 3.7 percent to 2.6 percent. </w:t>
      </w:r>
      <w:r w:rsidR="00B5428B" w:rsidRPr="00B5428B">
        <w:rPr>
          <w:rFonts w:asciiTheme="minorHAnsi" w:hAnsiTheme="minorHAnsi" w:cs="Arial"/>
          <w:sz w:val="22"/>
          <w:szCs w:val="22"/>
        </w:rPr>
        <w:t>The reality could be worse if trade and investment are being artificially buoyed by companies trying to get ahead of impending tariffs or navigate around other barriers.</w:t>
      </w:r>
      <w:r w:rsidRPr="00100120">
        <w:rPr>
          <w:rFonts w:asciiTheme="minorHAnsi" w:hAnsiTheme="minorHAnsi" w:cs="Arial"/>
          <w:sz w:val="22"/>
          <w:szCs w:val="22"/>
        </w:rPr>
        <w:t xml:space="preserve"> WTCA members reported a surge in trade over the past year as businesses sought to lock in </w:t>
      </w:r>
      <w:r w:rsidR="000F2241">
        <w:rPr>
          <w:rFonts w:asciiTheme="minorHAnsi" w:hAnsiTheme="minorHAnsi" w:cs="Arial"/>
          <w:sz w:val="22"/>
          <w:szCs w:val="22"/>
        </w:rPr>
        <w:t>costs</w:t>
      </w:r>
      <w:r w:rsidR="000F2241" w:rsidRPr="00100120">
        <w:rPr>
          <w:rFonts w:asciiTheme="minorHAnsi" w:hAnsiTheme="minorHAnsi" w:cs="Arial"/>
          <w:sz w:val="22"/>
          <w:szCs w:val="22"/>
        </w:rPr>
        <w:t xml:space="preserve"> </w:t>
      </w:r>
      <w:r w:rsidRPr="00100120">
        <w:rPr>
          <w:rFonts w:asciiTheme="minorHAnsi" w:hAnsiTheme="minorHAnsi" w:cs="Arial"/>
          <w:sz w:val="22"/>
          <w:szCs w:val="22"/>
        </w:rPr>
        <w:t>before Brexit, and before the trade tensions between the United States and China escalate further.</w:t>
      </w:r>
      <w:bookmarkEnd w:id="1"/>
      <w:r w:rsidR="00375E0A">
        <w:rPr>
          <w:rFonts w:asciiTheme="minorHAnsi" w:hAnsiTheme="minorHAnsi" w:cs="Arial"/>
          <w:sz w:val="22"/>
          <w:szCs w:val="22"/>
        </w:rPr>
        <w:t xml:space="preserve"> </w:t>
      </w:r>
    </w:p>
    <w:p w14:paraId="368D1105" w14:textId="6928D7F9" w:rsidR="006D12F3" w:rsidRDefault="006D12F3" w:rsidP="009B7079">
      <w:pPr>
        <w:pStyle w:val="NormalWeb"/>
        <w:shd w:val="clear" w:color="auto" w:fill="FFFFFF"/>
        <w:spacing w:before="0" w:beforeAutospacing="0" w:after="0" w:afterAutospacing="0"/>
        <w:rPr>
          <w:rFonts w:asciiTheme="minorHAnsi" w:hAnsiTheme="minorHAnsi" w:cs="Arial"/>
          <w:sz w:val="22"/>
          <w:szCs w:val="22"/>
        </w:rPr>
      </w:pPr>
    </w:p>
    <w:p w14:paraId="5EF26CC8" w14:textId="41EF1CBA" w:rsidR="00100120" w:rsidRDefault="00100120" w:rsidP="009B7079">
      <w:pPr>
        <w:pStyle w:val="NormalWeb"/>
        <w:shd w:val="clear" w:color="auto" w:fill="FFFFFF"/>
        <w:spacing w:before="0" w:beforeAutospacing="0" w:after="0" w:afterAutospacing="0"/>
        <w:rPr>
          <w:rFonts w:asciiTheme="minorHAnsi" w:hAnsiTheme="minorHAnsi" w:cs="Arial"/>
          <w:sz w:val="22"/>
          <w:szCs w:val="22"/>
        </w:rPr>
      </w:pPr>
      <w:r>
        <w:rPr>
          <w:rFonts w:asciiTheme="minorHAnsi" w:hAnsiTheme="minorHAnsi" w:cs="Arial"/>
          <w:sz w:val="22"/>
          <w:szCs w:val="22"/>
        </w:rPr>
        <w:t>“Economic uncertainty has created a ‘new normal’ which businesses and organizations are being forced to confront,” said FP Analytics Managing Director Claire Casey. “This year’s report illuminates the underlying causes driving this economic upheaval as well as provides successful strategies to combat this new instability.”</w:t>
      </w:r>
    </w:p>
    <w:p w14:paraId="71DE0DEC" w14:textId="77777777" w:rsidR="00100120" w:rsidRDefault="00100120" w:rsidP="009B7079">
      <w:pPr>
        <w:pStyle w:val="NormalWeb"/>
        <w:shd w:val="clear" w:color="auto" w:fill="FFFFFF"/>
        <w:spacing w:before="0" w:beforeAutospacing="0" w:after="0" w:afterAutospacing="0"/>
        <w:rPr>
          <w:rFonts w:asciiTheme="minorHAnsi" w:hAnsiTheme="minorHAnsi" w:cs="Arial"/>
          <w:sz w:val="22"/>
          <w:szCs w:val="22"/>
        </w:rPr>
      </w:pPr>
    </w:p>
    <w:p w14:paraId="555C6731" w14:textId="0DC34DB7" w:rsidR="00AD27FD" w:rsidRDefault="000F2241" w:rsidP="009B7079">
      <w:pPr>
        <w:pStyle w:val="NormalWeb"/>
        <w:shd w:val="clear" w:color="auto" w:fill="FFFFFF"/>
        <w:spacing w:before="0" w:beforeAutospacing="0" w:after="0" w:afterAutospacing="0"/>
        <w:rPr>
          <w:rFonts w:asciiTheme="minorHAnsi" w:hAnsiTheme="minorHAnsi" w:cs="Arial"/>
          <w:sz w:val="22"/>
          <w:szCs w:val="22"/>
        </w:rPr>
      </w:pPr>
      <w:r>
        <w:rPr>
          <w:rFonts w:asciiTheme="minorHAnsi" w:hAnsiTheme="minorHAnsi" w:cs="Arial"/>
          <w:sz w:val="22"/>
          <w:szCs w:val="22"/>
        </w:rPr>
        <w:t>How can cities survive fluctuations in the global economy and foster growth? Analysis of city-level economic data</w:t>
      </w:r>
      <w:r w:rsidR="00100120" w:rsidRPr="00100120">
        <w:rPr>
          <w:rFonts w:asciiTheme="minorHAnsi" w:hAnsiTheme="minorHAnsi" w:cs="Arial"/>
          <w:sz w:val="22"/>
          <w:szCs w:val="22"/>
        </w:rPr>
        <w:t xml:space="preserve"> from the past five years found that cities that outperform their countries during economic downturns have a consistent set of traits. Regardless of their location or size, these cities all have relatively diversified economies, strong service sectors, educated populations, high shares of foreign citizens, and robust transport infrastructure. And they have defied the odds by attracting investment under adverse circumstances: Their FDI as a percentage of GDP was twice as high on average as that of nonresilient cities. </w:t>
      </w:r>
    </w:p>
    <w:p w14:paraId="2A93BEA8" w14:textId="3DBF9790" w:rsidR="006D12F3" w:rsidRDefault="00760F05" w:rsidP="009B7079">
      <w:pPr>
        <w:pStyle w:val="NormalWeb"/>
        <w:shd w:val="clear" w:color="auto" w:fill="FFFFFF"/>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 </w:t>
      </w:r>
    </w:p>
    <w:p w14:paraId="13E4E938" w14:textId="02C77CFA" w:rsidR="00100120" w:rsidRDefault="00100120" w:rsidP="009B7079">
      <w:pPr>
        <w:pStyle w:val="NormalWeb"/>
        <w:shd w:val="clear" w:color="auto" w:fill="FFFFFF"/>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“The 2019 WTCA Trade and Investment Report shows that cities and businesses are being forced to consider new investment strategies and trade opportunities in a time where the global economy is in a state of near-constant flux,” said WTCA Chief Executive Officer </w:t>
      </w:r>
      <w:r w:rsidR="009B7079">
        <w:rPr>
          <w:rFonts w:asciiTheme="minorHAnsi" w:hAnsiTheme="minorHAnsi" w:cs="Arial"/>
          <w:sz w:val="22"/>
          <w:szCs w:val="22"/>
        </w:rPr>
        <w:t xml:space="preserve">(CEO) </w:t>
      </w:r>
      <w:r>
        <w:rPr>
          <w:rFonts w:asciiTheme="minorHAnsi" w:hAnsiTheme="minorHAnsi" w:cs="Arial"/>
          <w:sz w:val="22"/>
          <w:szCs w:val="22"/>
        </w:rPr>
        <w:t>Scott Ferguson. “However, c</w:t>
      </w:r>
      <w:r w:rsidRPr="005D4AB6">
        <w:rPr>
          <w:rFonts w:asciiTheme="minorHAnsi" w:hAnsiTheme="minorHAnsi" w:cs="Arial"/>
          <w:sz w:val="22"/>
          <w:szCs w:val="22"/>
        </w:rPr>
        <w:t>ities are well positioned to act as centers of economic stability and growth during shifting policy changes and uncertain global economic circumstances.</w:t>
      </w:r>
      <w:r>
        <w:rPr>
          <w:rFonts w:asciiTheme="minorHAnsi" w:hAnsiTheme="minorHAnsi" w:cs="Arial"/>
          <w:sz w:val="22"/>
          <w:szCs w:val="22"/>
        </w:rPr>
        <w:t>”</w:t>
      </w:r>
    </w:p>
    <w:p w14:paraId="42821188" w14:textId="77777777" w:rsidR="002D1E1B" w:rsidRDefault="002D1E1B" w:rsidP="009B7079">
      <w:pPr>
        <w:pStyle w:val="NormalWeb"/>
        <w:shd w:val="clear" w:color="auto" w:fill="FFFFFF"/>
        <w:spacing w:before="0" w:beforeAutospacing="0" w:after="0" w:afterAutospacing="0"/>
        <w:rPr>
          <w:rFonts w:asciiTheme="minorHAnsi" w:hAnsiTheme="minorHAnsi" w:cs="Arial"/>
          <w:sz w:val="22"/>
          <w:szCs w:val="22"/>
        </w:rPr>
      </w:pPr>
    </w:p>
    <w:p w14:paraId="50D6E6FB" w14:textId="4502103B" w:rsidR="00100120" w:rsidRDefault="00100120" w:rsidP="009B7079">
      <w:pPr>
        <w:pStyle w:val="NormalWeb"/>
        <w:shd w:val="clear" w:color="auto" w:fill="FFFFFF"/>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The report was launched in Metz, France, </w:t>
      </w:r>
      <w:r w:rsidR="006D346E">
        <w:rPr>
          <w:rFonts w:asciiTheme="minorHAnsi" w:hAnsiTheme="minorHAnsi" w:cs="Arial"/>
          <w:sz w:val="22"/>
          <w:szCs w:val="22"/>
        </w:rPr>
        <w:t xml:space="preserve">alongside a </w:t>
      </w:r>
      <w:r w:rsidR="006D346E" w:rsidRPr="00052A45">
        <w:rPr>
          <w:rFonts w:asciiTheme="minorHAnsi" w:hAnsiTheme="minorHAnsi" w:cs="Arial"/>
          <w:sz w:val="22"/>
          <w:szCs w:val="22"/>
        </w:rPr>
        <w:t xml:space="preserve">panel discussion of its findings. </w:t>
      </w:r>
      <w:r w:rsidRPr="00052A45">
        <w:rPr>
          <w:rFonts w:asciiTheme="minorHAnsi" w:hAnsiTheme="minorHAnsi" w:cs="Arial"/>
          <w:sz w:val="22"/>
          <w:szCs w:val="22"/>
        </w:rPr>
        <w:t xml:space="preserve">WTCA CEO Scott Ferguson; Rolf Alter, Senior Fellow at the Hertie School of Governance in Berlin, and former Director of Public Governance at the Organisation for Economic Cooperation and Development; </w:t>
      </w:r>
      <w:r w:rsidR="00E07ADE" w:rsidRPr="00052A45">
        <w:rPr>
          <w:rFonts w:asciiTheme="minorHAnsi" w:hAnsiTheme="minorHAnsi" w:cs="Arial"/>
          <w:sz w:val="22"/>
          <w:szCs w:val="22"/>
        </w:rPr>
        <w:t xml:space="preserve">Rani Dabrai, </w:t>
      </w:r>
      <w:r w:rsidRPr="00052A45">
        <w:rPr>
          <w:rFonts w:asciiTheme="minorHAnsi" w:hAnsiTheme="minorHAnsi" w:cs="Arial"/>
          <w:sz w:val="22"/>
          <w:szCs w:val="22"/>
        </w:rPr>
        <w:t>Director of World Trade Center Dublin; and Bruce Nairne of Nairne Limited, a private-sector consultancy</w:t>
      </w:r>
      <w:r w:rsidR="006D346E" w:rsidRPr="00052A45">
        <w:rPr>
          <w:rFonts w:asciiTheme="minorHAnsi" w:hAnsiTheme="minorHAnsi" w:cs="Arial"/>
          <w:sz w:val="22"/>
          <w:szCs w:val="22"/>
        </w:rPr>
        <w:t xml:space="preserve">, </w:t>
      </w:r>
      <w:r w:rsidR="006D346E" w:rsidRPr="00052A45">
        <w:rPr>
          <w:rFonts w:asciiTheme="minorHAnsi" w:hAnsiTheme="minorHAnsi" w:cs="Arial"/>
          <w:sz w:val="22"/>
          <w:szCs w:val="22"/>
        </w:rPr>
        <w:lastRenderedPageBreak/>
        <w:t>shared their perspectives on the report and the challenges and opportunities for business in the current environment.</w:t>
      </w:r>
    </w:p>
    <w:p w14:paraId="61CAD549" w14:textId="3D6542A9" w:rsidR="00100120" w:rsidRDefault="00100120" w:rsidP="009B7079">
      <w:pPr>
        <w:pStyle w:val="NormalWeb"/>
        <w:shd w:val="clear" w:color="auto" w:fill="FFFFFF"/>
        <w:spacing w:before="0" w:beforeAutospacing="0" w:after="0" w:afterAutospacing="0"/>
        <w:rPr>
          <w:rFonts w:asciiTheme="minorHAnsi" w:hAnsiTheme="minorHAnsi" w:cs="Arial"/>
          <w:sz w:val="22"/>
          <w:szCs w:val="22"/>
        </w:rPr>
      </w:pPr>
    </w:p>
    <w:p w14:paraId="70BB31DF" w14:textId="65D40923" w:rsidR="00100120" w:rsidRDefault="00100120" w:rsidP="009B7079">
      <w:pPr>
        <w:pStyle w:val="NormalWeb"/>
        <w:shd w:val="clear" w:color="auto" w:fill="FFFFFF"/>
        <w:spacing w:before="0" w:beforeAutospacing="0" w:after="0" w:afterAutospacing="0"/>
        <w:rPr>
          <w:rFonts w:asciiTheme="minorHAnsi" w:hAnsiTheme="minorHAnsi" w:cs="Arial"/>
          <w:sz w:val="22"/>
          <w:szCs w:val="22"/>
        </w:rPr>
      </w:pPr>
      <w:r>
        <w:rPr>
          <w:rFonts w:asciiTheme="minorHAnsi" w:hAnsiTheme="minorHAnsi" w:cs="Arial"/>
          <w:sz w:val="22"/>
          <w:szCs w:val="22"/>
        </w:rPr>
        <w:t>“</w:t>
      </w:r>
      <w:r w:rsidRPr="00100120">
        <w:rPr>
          <w:rFonts w:asciiTheme="minorHAnsi" w:hAnsiTheme="minorHAnsi" w:cs="Arial"/>
          <w:sz w:val="22"/>
          <w:szCs w:val="22"/>
        </w:rPr>
        <w:t>Cities are where policies and people meet,” remarked Alter. He continued, “We are living in the Metropolitan century, and this report is rich with examples of what works to ensure a city’s resiliency in what is certainly a time of fundamental change. The practitioner’s point-of-view detailed by WTCA members here is insightful and important.”</w:t>
      </w:r>
    </w:p>
    <w:p w14:paraId="5A986914" w14:textId="77777777" w:rsidR="00AD27FD" w:rsidRDefault="00AD27FD" w:rsidP="009B7079">
      <w:pPr>
        <w:pStyle w:val="NormalWeb"/>
        <w:shd w:val="clear" w:color="auto" w:fill="FFFFFF"/>
        <w:spacing w:before="0" w:beforeAutospacing="0" w:after="0" w:afterAutospacing="0"/>
        <w:rPr>
          <w:rFonts w:asciiTheme="minorHAnsi" w:hAnsiTheme="minorHAnsi" w:cs="Arial"/>
          <w:sz w:val="22"/>
          <w:szCs w:val="22"/>
        </w:rPr>
      </w:pPr>
    </w:p>
    <w:p w14:paraId="0105F74C" w14:textId="4E4DB0DF" w:rsidR="006D12F3" w:rsidRDefault="006D12F3" w:rsidP="009B7079">
      <w:pPr>
        <w:pStyle w:val="NormalWeb"/>
        <w:shd w:val="clear" w:color="auto" w:fill="FFFFFF"/>
        <w:spacing w:before="0" w:beforeAutospacing="0" w:after="0" w:afterAutospacing="0"/>
        <w:rPr>
          <w:rFonts w:asciiTheme="minorHAnsi" w:hAnsiTheme="minorHAnsi" w:cs="Arial"/>
          <w:sz w:val="22"/>
          <w:szCs w:val="22"/>
        </w:rPr>
      </w:pPr>
      <w:r w:rsidRPr="0018538C">
        <w:rPr>
          <w:rFonts w:asciiTheme="minorHAnsi" w:hAnsiTheme="minorHAnsi" w:cs="Arial"/>
          <w:sz w:val="22"/>
          <w:szCs w:val="22"/>
        </w:rPr>
        <w:t>The results of the full report</w:t>
      </w:r>
      <w:r w:rsidR="00E708DC">
        <w:rPr>
          <w:rFonts w:asciiTheme="minorHAnsi" w:hAnsiTheme="minorHAnsi" w:cs="Arial"/>
          <w:sz w:val="22"/>
          <w:szCs w:val="22"/>
        </w:rPr>
        <w:t>, including commentary from WTCA Members,</w:t>
      </w:r>
      <w:r w:rsidRPr="0018538C">
        <w:rPr>
          <w:rFonts w:asciiTheme="minorHAnsi" w:hAnsiTheme="minorHAnsi" w:cs="Arial"/>
          <w:sz w:val="22"/>
          <w:szCs w:val="22"/>
        </w:rPr>
        <w:t xml:space="preserve"> are available for download at </w:t>
      </w:r>
      <w:hyperlink r:id="rId10" w:history="1">
        <w:r w:rsidRPr="00B504A1">
          <w:rPr>
            <w:rStyle w:val="Hyperlink"/>
            <w:rFonts w:asciiTheme="minorHAnsi" w:hAnsiTheme="minorHAnsi" w:cs="Arial"/>
            <w:sz w:val="22"/>
            <w:szCs w:val="22"/>
          </w:rPr>
          <w:t>www.WTCAReports.org</w:t>
        </w:r>
      </w:hyperlink>
      <w:r w:rsidRPr="0018538C">
        <w:rPr>
          <w:rFonts w:asciiTheme="minorHAnsi" w:hAnsiTheme="minorHAnsi" w:cs="Arial"/>
          <w:sz w:val="22"/>
          <w:szCs w:val="22"/>
        </w:rPr>
        <w:t>.</w:t>
      </w:r>
    </w:p>
    <w:p w14:paraId="15873381" w14:textId="7ECFA331" w:rsidR="00785551" w:rsidRDefault="00785551" w:rsidP="009B7079">
      <w:pPr>
        <w:pStyle w:val="NormalWeb"/>
        <w:shd w:val="clear" w:color="auto" w:fill="FFFFFF"/>
        <w:spacing w:before="0" w:beforeAutospacing="0" w:after="0" w:afterAutospacing="0"/>
        <w:rPr>
          <w:rFonts w:asciiTheme="minorHAnsi" w:hAnsiTheme="minorHAnsi" w:cs="Arial"/>
          <w:sz w:val="22"/>
          <w:szCs w:val="22"/>
        </w:rPr>
      </w:pPr>
    </w:p>
    <w:p w14:paraId="4646D0C2" w14:textId="77777777" w:rsidR="00785551" w:rsidRDefault="00785551" w:rsidP="009B7079">
      <w:pPr>
        <w:pStyle w:val="NormalWeb"/>
        <w:shd w:val="clear" w:color="auto" w:fill="FFFFFF"/>
        <w:spacing w:before="0" w:beforeAutospacing="0" w:after="0" w:afterAutospacing="0"/>
        <w:rPr>
          <w:rFonts w:asciiTheme="minorHAnsi" w:hAnsiTheme="minorHAnsi" w:cs="Arial"/>
          <w:sz w:val="22"/>
          <w:szCs w:val="22"/>
        </w:rPr>
      </w:pPr>
      <w:r w:rsidRPr="00785551">
        <w:rPr>
          <w:rFonts w:asciiTheme="minorHAnsi" w:hAnsiTheme="minorHAnsi" w:cs="Arial"/>
          <w:sz w:val="22"/>
          <w:szCs w:val="22"/>
        </w:rPr>
        <w:t>MEDIA CONTACTS:</w:t>
      </w:r>
    </w:p>
    <w:p w14:paraId="2DF64C44" w14:textId="7DE7F249" w:rsidR="00785551" w:rsidRPr="00785551" w:rsidRDefault="00785551" w:rsidP="009B7079">
      <w:pPr>
        <w:pStyle w:val="NormalWeb"/>
        <w:shd w:val="clear" w:color="auto" w:fill="FFFFFF"/>
        <w:spacing w:before="0" w:beforeAutospacing="0" w:after="0" w:afterAutospacing="0"/>
        <w:rPr>
          <w:rFonts w:asciiTheme="minorHAnsi" w:hAnsiTheme="minorHAnsi" w:cs="Arial"/>
          <w:sz w:val="22"/>
          <w:szCs w:val="22"/>
        </w:rPr>
      </w:pPr>
      <w:r w:rsidRPr="00785551">
        <w:rPr>
          <w:rFonts w:asciiTheme="minorHAnsi" w:hAnsiTheme="minorHAnsi" w:cs="Arial"/>
          <w:sz w:val="22"/>
          <w:szCs w:val="22"/>
        </w:rPr>
        <w:t xml:space="preserve">Eliot Marcus </w:t>
      </w:r>
    </w:p>
    <w:p w14:paraId="5CD88E1D" w14:textId="77777777" w:rsidR="00785551" w:rsidRPr="00785551" w:rsidRDefault="00785551" w:rsidP="009B7079">
      <w:pPr>
        <w:pStyle w:val="NormalWeb"/>
        <w:shd w:val="clear" w:color="auto" w:fill="FFFFFF"/>
        <w:spacing w:before="0" w:beforeAutospacing="0" w:after="0" w:afterAutospacing="0"/>
        <w:rPr>
          <w:rFonts w:asciiTheme="minorHAnsi" w:hAnsiTheme="minorHAnsi" w:cs="Arial"/>
          <w:sz w:val="22"/>
          <w:szCs w:val="22"/>
        </w:rPr>
      </w:pPr>
      <w:r w:rsidRPr="00785551">
        <w:rPr>
          <w:rFonts w:asciiTheme="minorHAnsi" w:hAnsiTheme="minorHAnsi" w:cs="Arial"/>
          <w:sz w:val="22"/>
          <w:szCs w:val="22"/>
        </w:rPr>
        <w:t>Phone: +1.617.401.2277</w:t>
      </w:r>
    </w:p>
    <w:p w14:paraId="7EB48C01" w14:textId="7AD0DE53" w:rsidR="00785551" w:rsidRDefault="00785551" w:rsidP="00785551">
      <w:pPr>
        <w:pStyle w:val="NormalWeb"/>
        <w:shd w:val="clear" w:color="auto" w:fill="FFFFFF"/>
        <w:spacing w:before="0" w:beforeAutospacing="0" w:after="0" w:afterAutospacing="0"/>
        <w:rPr>
          <w:rFonts w:asciiTheme="minorHAnsi" w:hAnsiTheme="minorHAnsi" w:cs="Arial"/>
          <w:sz w:val="22"/>
          <w:szCs w:val="22"/>
        </w:rPr>
      </w:pPr>
      <w:r w:rsidRPr="00785551">
        <w:rPr>
          <w:rFonts w:asciiTheme="minorHAnsi" w:hAnsiTheme="minorHAnsi" w:cs="Arial"/>
          <w:sz w:val="22"/>
          <w:szCs w:val="22"/>
        </w:rPr>
        <w:t>Email: WTCA@allisonpr.com</w:t>
      </w:r>
    </w:p>
    <w:p w14:paraId="5CECBDEE" w14:textId="77777777" w:rsidR="006D12F3" w:rsidRDefault="006D12F3" w:rsidP="009B7079">
      <w:pPr>
        <w:pStyle w:val="NormalWeb"/>
        <w:shd w:val="clear" w:color="auto" w:fill="FFFFFF"/>
        <w:spacing w:before="0" w:beforeAutospacing="0" w:after="0" w:afterAutospacing="0"/>
        <w:rPr>
          <w:rFonts w:asciiTheme="minorHAnsi" w:hAnsiTheme="minorHAnsi" w:cs="Arial"/>
          <w:sz w:val="22"/>
          <w:szCs w:val="22"/>
        </w:rPr>
      </w:pPr>
    </w:p>
    <w:p w14:paraId="013F2A75" w14:textId="77777777" w:rsidR="006D12F3" w:rsidRPr="00E10B8A" w:rsidRDefault="006D12F3" w:rsidP="009B7079">
      <w:pPr>
        <w:pStyle w:val="NormalWeb"/>
        <w:shd w:val="clear" w:color="auto" w:fill="FFFFFF"/>
        <w:spacing w:before="0" w:beforeAutospacing="0" w:after="0" w:afterAutospacing="0"/>
        <w:rPr>
          <w:rFonts w:asciiTheme="minorHAnsi" w:hAnsiTheme="minorHAnsi" w:cs="Arial"/>
          <w:b/>
          <w:sz w:val="22"/>
          <w:szCs w:val="22"/>
        </w:rPr>
      </w:pPr>
      <w:r w:rsidRPr="00E10B8A">
        <w:rPr>
          <w:rFonts w:asciiTheme="minorHAnsi" w:hAnsiTheme="minorHAnsi" w:cs="Arial"/>
          <w:b/>
          <w:sz w:val="22"/>
          <w:szCs w:val="22"/>
        </w:rPr>
        <w:t>About the WTCA 2019 Trade and Investment Report</w:t>
      </w:r>
    </w:p>
    <w:p w14:paraId="6F4C8505" w14:textId="5629D629" w:rsidR="006D12F3" w:rsidRDefault="006D12F3" w:rsidP="009B7079">
      <w:pPr>
        <w:pStyle w:val="NormalWeb"/>
        <w:shd w:val="clear" w:color="auto" w:fill="FFFFFF"/>
        <w:spacing w:before="0" w:beforeAutospacing="0" w:after="0" w:afterAutospacing="0"/>
        <w:rPr>
          <w:rFonts w:asciiTheme="minorHAnsi" w:hAnsiTheme="minorHAnsi" w:cs="Arial"/>
          <w:sz w:val="22"/>
          <w:szCs w:val="22"/>
        </w:rPr>
      </w:pPr>
      <w:r w:rsidRPr="0018538C">
        <w:rPr>
          <w:rFonts w:asciiTheme="minorHAnsi" w:hAnsiTheme="minorHAnsi" w:cs="Arial"/>
          <w:sz w:val="22"/>
          <w:szCs w:val="22"/>
        </w:rPr>
        <w:t xml:space="preserve">This study, conducted in partnership with </w:t>
      </w:r>
      <w:r>
        <w:rPr>
          <w:rFonts w:asciiTheme="minorHAnsi" w:hAnsiTheme="minorHAnsi" w:cs="Arial"/>
          <w:sz w:val="22"/>
          <w:szCs w:val="22"/>
        </w:rPr>
        <w:t xml:space="preserve">FP Analytics and </w:t>
      </w:r>
      <w:r w:rsidRPr="0018538C">
        <w:rPr>
          <w:rFonts w:asciiTheme="minorHAnsi" w:hAnsiTheme="minorHAnsi" w:cs="Arial"/>
          <w:sz w:val="22"/>
          <w:szCs w:val="22"/>
        </w:rPr>
        <w:t>the World Trade Centers Association (WTCA), is a product of original city-level data analysis, as well as polling and interviews with WTCA members around the world. Cities with a WTCA member constitute more than 35</w:t>
      </w:r>
      <w:r w:rsidR="00692E61">
        <w:rPr>
          <w:rFonts w:asciiTheme="minorHAnsi" w:hAnsiTheme="minorHAnsi" w:cs="Arial"/>
          <w:sz w:val="22"/>
          <w:szCs w:val="22"/>
        </w:rPr>
        <w:t>%</w:t>
      </w:r>
      <w:r>
        <w:rPr>
          <w:rFonts w:asciiTheme="minorHAnsi" w:hAnsiTheme="minorHAnsi" w:cs="Arial"/>
          <w:sz w:val="22"/>
          <w:szCs w:val="22"/>
        </w:rPr>
        <w:t xml:space="preserve"> </w:t>
      </w:r>
      <w:r w:rsidRPr="0018538C">
        <w:rPr>
          <w:rFonts w:asciiTheme="minorHAnsi" w:hAnsiTheme="minorHAnsi" w:cs="Arial"/>
          <w:sz w:val="22"/>
          <w:szCs w:val="22"/>
        </w:rPr>
        <w:t>of global GDP and are home to nearly 1</w:t>
      </w:r>
      <w:r>
        <w:rPr>
          <w:rFonts w:asciiTheme="minorHAnsi" w:hAnsiTheme="minorHAnsi" w:cs="Arial"/>
          <w:sz w:val="22"/>
          <w:szCs w:val="22"/>
        </w:rPr>
        <w:t>.24</w:t>
      </w:r>
      <w:r w:rsidRPr="0018538C">
        <w:rPr>
          <w:rFonts w:asciiTheme="minorHAnsi" w:hAnsiTheme="minorHAnsi" w:cs="Arial"/>
          <w:sz w:val="22"/>
          <w:szCs w:val="22"/>
        </w:rPr>
        <w:t xml:space="preserve"> billion people. Capturing insights from this unique global network of World Trade Centers in more than </w:t>
      </w:r>
      <w:r w:rsidR="00847758" w:rsidRPr="0018538C">
        <w:rPr>
          <w:rFonts w:asciiTheme="minorHAnsi" w:hAnsiTheme="minorHAnsi" w:cs="Arial"/>
          <w:sz w:val="22"/>
          <w:szCs w:val="22"/>
        </w:rPr>
        <w:t>3</w:t>
      </w:r>
      <w:r w:rsidR="00847758">
        <w:rPr>
          <w:rFonts w:asciiTheme="minorHAnsi" w:hAnsiTheme="minorHAnsi" w:cs="Arial"/>
          <w:sz w:val="22"/>
          <w:szCs w:val="22"/>
        </w:rPr>
        <w:t>25</w:t>
      </w:r>
      <w:r w:rsidR="00847758" w:rsidRPr="0018538C">
        <w:rPr>
          <w:rFonts w:asciiTheme="minorHAnsi" w:hAnsiTheme="minorHAnsi" w:cs="Arial"/>
          <w:sz w:val="22"/>
          <w:szCs w:val="22"/>
        </w:rPr>
        <w:t xml:space="preserve"> </w:t>
      </w:r>
      <w:r w:rsidRPr="0018538C">
        <w:rPr>
          <w:rFonts w:asciiTheme="minorHAnsi" w:hAnsiTheme="minorHAnsi" w:cs="Arial"/>
          <w:sz w:val="22"/>
          <w:szCs w:val="22"/>
        </w:rPr>
        <w:t>cities, this analysis seeks to shed light on how global economic trends are shaping trade and investment at the local level, and the innovative ways cities and World Trade Centers are navigating this “new normal,” building global connections to drive local growth.</w:t>
      </w:r>
    </w:p>
    <w:p w14:paraId="6637E609" w14:textId="77777777" w:rsidR="00E20352" w:rsidRDefault="00E20352" w:rsidP="009B7079">
      <w:pPr>
        <w:pStyle w:val="NormalWeb"/>
        <w:shd w:val="clear" w:color="auto" w:fill="FFFFFF"/>
        <w:spacing w:before="0" w:beforeAutospacing="0" w:after="0" w:afterAutospacing="0"/>
        <w:rPr>
          <w:rFonts w:asciiTheme="minorHAnsi" w:hAnsiTheme="minorHAnsi" w:cs="Arial"/>
          <w:sz w:val="22"/>
          <w:szCs w:val="22"/>
        </w:rPr>
      </w:pPr>
    </w:p>
    <w:p w14:paraId="65980BB3" w14:textId="77777777" w:rsidR="006D12F3" w:rsidRPr="00A91DA5" w:rsidRDefault="006D12F3" w:rsidP="009B7079">
      <w:pPr>
        <w:pStyle w:val="NormalWeb"/>
        <w:shd w:val="clear" w:color="auto" w:fill="FFFFFF"/>
        <w:spacing w:before="0" w:beforeAutospacing="0" w:after="0" w:afterAutospacing="0"/>
        <w:rPr>
          <w:rFonts w:asciiTheme="minorHAnsi" w:hAnsiTheme="minorHAnsi" w:cs="Arial"/>
          <w:b/>
          <w:sz w:val="22"/>
          <w:szCs w:val="22"/>
        </w:rPr>
      </w:pPr>
      <w:r w:rsidRPr="00E10B8A">
        <w:rPr>
          <w:rFonts w:asciiTheme="minorHAnsi" w:hAnsiTheme="minorHAnsi" w:cs="Arial"/>
          <w:b/>
          <w:sz w:val="22"/>
          <w:szCs w:val="22"/>
        </w:rPr>
        <w:t>About World Trade Centers Association</w:t>
      </w:r>
      <w:r w:rsidRPr="00A91DA5">
        <w:rPr>
          <w:rFonts w:asciiTheme="minorHAnsi" w:hAnsiTheme="minorHAnsi" w:cs="Arial"/>
          <w:b/>
          <w:sz w:val="22"/>
          <w:szCs w:val="22"/>
        </w:rPr>
        <w:t> </w:t>
      </w:r>
    </w:p>
    <w:p w14:paraId="1505B336" w14:textId="3F48ACB8" w:rsidR="006D12F3" w:rsidRPr="0018538C" w:rsidRDefault="006D12F3" w:rsidP="009B7079">
      <w:pPr>
        <w:pStyle w:val="NormalWeb"/>
        <w:shd w:val="clear" w:color="auto" w:fill="FFFFFF"/>
        <w:spacing w:before="0" w:beforeAutospacing="0" w:after="0" w:afterAutospacing="0"/>
        <w:rPr>
          <w:rFonts w:asciiTheme="minorHAnsi" w:hAnsiTheme="minorHAnsi" w:cstheme="minorHAnsi"/>
          <w:sz w:val="22"/>
          <w:szCs w:val="22"/>
        </w:rPr>
      </w:pPr>
      <w:r w:rsidRPr="00E10B8A">
        <w:rPr>
          <w:rFonts w:asciiTheme="minorHAnsi" w:hAnsiTheme="minorHAnsi" w:cs="Arial"/>
          <w:sz w:val="22"/>
          <w:szCs w:val="22"/>
        </w:rPr>
        <w:t xml:space="preserve">The World Trade Centers Association (WTCA) is a network of more than </w:t>
      </w:r>
      <w:r w:rsidR="00847758" w:rsidRPr="00E10B8A">
        <w:rPr>
          <w:rFonts w:asciiTheme="minorHAnsi" w:hAnsiTheme="minorHAnsi" w:cs="Arial"/>
          <w:sz w:val="22"/>
          <w:szCs w:val="22"/>
        </w:rPr>
        <w:t>3</w:t>
      </w:r>
      <w:r w:rsidR="00847758">
        <w:rPr>
          <w:rFonts w:asciiTheme="minorHAnsi" w:hAnsiTheme="minorHAnsi" w:cs="Arial"/>
          <w:sz w:val="22"/>
          <w:szCs w:val="22"/>
        </w:rPr>
        <w:t>25</w:t>
      </w:r>
      <w:r w:rsidR="00847758" w:rsidRPr="00E10B8A">
        <w:rPr>
          <w:rFonts w:asciiTheme="minorHAnsi" w:hAnsiTheme="minorHAnsi" w:cs="Arial"/>
          <w:sz w:val="22"/>
          <w:szCs w:val="22"/>
        </w:rPr>
        <w:t xml:space="preserve"> </w:t>
      </w:r>
      <w:r w:rsidRPr="00E10B8A">
        <w:rPr>
          <w:rFonts w:asciiTheme="minorHAnsi" w:hAnsiTheme="minorHAnsi" w:cs="Arial"/>
          <w:sz w:val="22"/>
          <w:szCs w:val="22"/>
        </w:rPr>
        <w:t>highly connected, mutually supporting businesses and organizations in nearly 100 countries. As the owner of the “World Trade Center” and “WTC” trademarks, the WTCA licenses exclusive rights to these brands for Members to use in conjunction with their independently-owned, iconic properties, facilities and trade services offerings. Through a robust portfolio of events, programming and resources that it offers its Members, th</w:t>
      </w:r>
      <w:r w:rsidRPr="00061650">
        <w:rPr>
          <w:rFonts w:asciiTheme="minorHAnsi" w:hAnsiTheme="minorHAnsi" w:cs="Arial"/>
          <w:sz w:val="22"/>
          <w:szCs w:val="22"/>
        </w:rPr>
        <w:t>e goal of the WTCA is to help local economies thrive by encouraging and facilitating trade and investment across the globe through Member engagement. To learn more</w:t>
      </w:r>
      <w:r w:rsidRPr="0018538C">
        <w:rPr>
          <w:rFonts w:asciiTheme="minorHAnsi" w:hAnsiTheme="minorHAnsi" w:cstheme="minorHAnsi"/>
          <w:sz w:val="22"/>
          <w:szCs w:val="22"/>
        </w:rPr>
        <w:t xml:space="preserve"> visit </w:t>
      </w:r>
      <w:hyperlink r:id="rId11" w:tooltip="https://www.wtca.org/" w:history="1">
        <w:r w:rsidRPr="0018538C">
          <w:rPr>
            <w:rStyle w:val="Hyperlink"/>
            <w:rFonts w:asciiTheme="minorHAnsi" w:hAnsiTheme="minorHAnsi" w:cstheme="minorHAnsi"/>
            <w:sz w:val="22"/>
            <w:szCs w:val="22"/>
          </w:rPr>
          <w:t>www.wtca.org</w:t>
        </w:r>
      </w:hyperlink>
      <w:r w:rsidRPr="0018538C">
        <w:rPr>
          <w:rFonts w:asciiTheme="minorHAnsi" w:hAnsiTheme="minorHAnsi" w:cstheme="minorHAnsi"/>
          <w:sz w:val="22"/>
          <w:szCs w:val="22"/>
        </w:rPr>
        <w:t>.</w:t>
      </w:r>
    </w:p>
    <w:p w14:paraId="16B8E8A6" w14:textId="77777777" w:rsidR="00913964" w:rsidRDefault="00913964" w:rsidP="009B7079">
      <w:pPr>
        <w:spacing w:after="0" w:line="240" w:lineRule="auto"/>
      </w:pPr>
    </w:p>
    <w:sectPr w:rsidR="00913964" w:rsidSect="00B54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F133E" w14:textId="77777777" w:rsidR="00F51EC2" w:rsidRDefault="00F51EC2" w:rsidP="006D12F3">
      <w:pPr>
        <w:spacing w:after="0" w:line="240" w:lineRule="auto"/>
      </w:pPr>
      <w:r>
        <w:separator/>
      </w:r>
    </w:p>
  </w:endnote>
  <w:endnote w:type="continuationSeparator" w:id="0">
    <w:p w14:paraId="31F91FD0" w14:textId="77777777" w:rsidR="00F51EC2" w:rsidRDefault="00F51EC2" w:rsidP="006D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0D4BD" w14:textId="77777777" w:rsidR="00F51EC2" w:rsidRDefault="00F51EC2" w:rsidP="006D12F3">
      <w:pPr>
        <w:spacing w:after="0" w:line="240" w:lineRule="auto"/>
      </w:pPr>
      <w:r>
        <w:separator/>
      </w:r>
    </w:p>
  </w:footnote>
  <w:footnote w:type="continuationSeparator" w:id="0">
    <w:p w14:paraId="66DC9453" w14:textId="77777777" w:rsidR="00F51EC2" w:rsidRDefault="00F51EC2" w:rsidP="006D1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2A43"/>
    <w:multiLevelType w:val="hybridMultilevel"/>
    <w:tmpl w:val="B31A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9061E"/>
    <w:multiLevelType w:val="hybridMultilevel"/>
    <w:tmpl w:val="AFF2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F3"/>
    <w:rsid w:val="000076D3"/>
    <w:rsid w:val="00011280"/>
    <w:rsid w:val="00015B20"/>
    <w:rsid w:val="0004114A"/>
    <w:rsid w:val="00052A45"/>
    <w:rsid w:val="00061650"/>
    <w:rsid w:val="000724BA"/>
    <w:rsid w:val="00085A2E"/>
    <w:rsid w:val="000900DE"/>
    <w:rsid w:val="00092CC9"/>
    <w:rsid w:val="000A0577"/>
    <w:rsid w:val="000B4650"/>
    <w:rsid w:val="000C5EFD"/>
    <w:rsid w:val="000C64AE"/>
    <w:rsid w:val="000D3C27"/>
    <w:rsid w:val="000E20FB"/>
    <w:rsid w:val="000F2241"/>
    <w:rsid w:val="00100120"/>
    <w:rsid w:val="001021A9"/>
    <w:rsid w:val="00124BB1"/>
    <w:rsid w:val="0015671F"/>
    <w:rsid w:val="0016021B"/>
    <w:rsid w:val="001A13FB"/>
    <w:rsid w:val="001D2FC9"/>
    <w:rsid w:val="001E1376"/>
    <w:rsid w:val="001E1CC2"/>
    <w:rsid w:val="0022347E"/>
    <w:rsid w:val="002D1E1B"/>
    <w:rsid w:val="002F0D30"/>
    <w:rsid w:val="0030125B"/>
    <w:rsid w:val="00324E7F"/>
    <w:rsid w:val="00333C41"/>
    <w:rsid w:val="00341104"/>
    <w:rsid w:val="00341AA1"/>
    <w:rsid w:val="003446B6"/>
    <w:rsid w:val="00346801"/>
    <w:rsid w:val="003604B5"/>
    <w:rsid w:val="00375E0A"/>
    <w:rsid w:val="003943D8"/>
    <w:rsid w:val="003A61F7"/>
    <w:rsid w:val="003B0DF6"/>
    <w:rsid w:val="003E2442"/>
    <w:rsid w:val="0040046F"/>
    <w:rsid w:val="00432351"/>
    <w:rsid w:val="004413B3"/>
    <w:rsid w:val="0045198D"/>
    <w:rsid w:val="00487C87"/>
    <w:rsid w:val="004A0215"/>
    <w:rsid w:val="004B421A"/>
    <w:rsid w:val="00527986"/>
    <w:rsid w:val="0057188A"/>
    <w:rsid w:val="00572D5B"/>
    <w:rsid w:val="005835AB"/>
    <w:rsid w:val="0059353E"/>
    <w:rsid w:val="005A3833"/>
    <w:rsid w:val="005F1394"/>
    <w:rsid w:val="005F5FF5"/>
    <w:rsid w:val="005F7665"/>
    <w:rsid w:val="00635378"/>
    <w:rsid w:val="00635916"/>
    <w:rsid w:val="00647851"/>
    <w:rsid w:val="006651BF"/>
    <w:rsid w:val="00672846"/>
    <w:rsid w:val="00682B5B"/>
    <w:rsid w:val="00692E61"/>
    <w:rsid w:val="006B7958"/>
    <w:rsid w:val="006C7FF4"/>
    <w:rsid w:val="006D12F3"/>
    <w:rsid w:val="006D346E"/>
    <w:rsid w:val="006E5875"/>
    <w:rsid w:val="006E7693"/>
    <w:rsid w:val="006F4942"/>
    <w:rsid w:val="00721EED"/>
    <w:rsid w:val="00753AA3"/>
    <w:rsid w:val="00760F05"/>
    <w:rsid w:val="00785551"/>
    <w:rsid w:val="007A7403"/>
    <w:rsid w:val="007C39C4"/>
    <w:rsid w:val="007D1695"/>
    <w:rsid w:val="00817FC7"/>
    <w:rsid w:val="008207C8"/>
    <w:rsid w:val="00847758"/>
    <w:rsid w:val="0086364F"/>
    <w:rsid w:val="008955AB"/>
    <w:rsid w:val="008F2F2A"/>
    <w:rsid w:val="00913964"/>
    <w:rsid w:val="00913C15"/>
    <w:rsid w:val="00936099"/>
    <w:rsid w:val="0096032C"/>
    <w:rsid w:val="00961538"/>
    <w:rsid w:val="009704E8"/>
    <w:rsid w:val="009737D3"/>
    <w:rsid w:val="009A61FA"/>
    <w:rsid w:val="009B7079"/>
    <w:rsid w:val="00A15332"/>
    <w:rsid w:val="00A17E38"/>
    <w:rsid w:val="00A42197"/>
    <w:rsid w:val="00A55730"/>
    <w:rsid w:val="00A6419A"/>
    <w:rsid w:val="00A8428A"/>
    <w:rsid w:val="00A91DA5"/>
    <w:rsid w:val="00AD27FD"/>
    <w:rsid w:val="00AD4850"/>
    <w:rsid w:val="00AE7B0F"/>
    <w:rsid w:val="00B5428B"/>
    <w:rsid w:val="00B961FF"/>
    <w:rsid w:val="00BB0097"/>
    <w:rsid w:val="00BC13DD"/>
    <w:rsid w:val="00BE668A"/>
    <w:rsid w:val="00BF6A73"/>
    <w:rsid w:val="00C135C9"/>
    <w:rsid w:val="00C43C9D"/>
    <w:rsid w:val="00C60E25"/>
    <w:rsid w:val="00C65C93"/>
    <w:rsid w:val="00C66F27"/>
    <w:rsid w:val="00C76F1C"/>
    <w:rsid w:val="00CA7D15"/>
    <w:rsid w:val="00CB78AD"/>
    <w:rsid w:val="00CE6B7C"/>
    <w:rsid w:val="00D129F1"/>
    <w:rsid w:val="00D3291F"/>
    <w:rsid w:val="00D355BA"/>
    <w:rsid w:val="00D5368C"/>
    <w:rsid w:val="00D636B2"/>
    <w:rsid w:val="00D91489"/>
    <w:rsid w:val="00DA1825"/>
    <w:rsid w:val="00DC2D97"/>
    <w:rsid w:val="00E07ADE"/>
    <w:rsid w:val="00E10B8A"/>
    <w:rsid w:val="00E20352"/>
    <w:rsid w:val="00E4625B"/>
    <w:rsid w:val="00E708DC"/>
    <w:rsid w:val="00E72AD6"/>
    <w:rsid w:val="00E840ED"/>
    <w:rsid w:val="00EA6CA0"/>
    <w:rsid w:val="00F116AA"/>
    <w:rsid w:val="00F51EC2"/>
    <w:rsid w:val="00F558E8"/>
    <w:rsid w:val="00F82BC5"/>
    <w:rsid w:val="00FA096E"/>
    <w:rsid w:val="00FA62FC"/>
    <w:rsid w:val="00FB0666"/>
    <w:rsid w:val="00FB3335"/>
    <w:rsid w:val="00FB78AC"/>
    <w:rsid w:val="00FC6D34"/>
    <w:rsid w:val="00FD0174"/>
    <w:rsid w:val="00F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2B70"/>
  <w15:chartTrackingRefBased/>
  <w15:docId w15:val="{19A3893D-D7AF-495C-8B5F-8DC23B60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F3"/>
  </w:style>
  <w:style w:type="paragraph" w:styleId="Footer">
    <w:name w:val="footer"/>
    <w:basedOn w:val="Normal"/>
    <w:link w:val="FooterChar"/>
    <w:uiPriority w:val="99"/>
    <w:unhideWhenUsed/>
    <w:rsid w:val="006D1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F3"/>
  </w:style>
  <w:style w:type="paragraph" w:styleId="NormalWeb">
    <w:name w:val="Normal (Web)"/>
    <w:basedOn w:val="Normal"/>
    <w:uiPriority w:val="99"/>
    <w:unhideWhenUsed/>
    <w:rsid w:val="006D12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12F3"/>
    <w:rPr>
      <w:color w:val="0563C1" w:themeColor="hyperlink"/>
      <w:u w:val="single"/>
    </w:rPr>
  </w:style>
  <w:style w:type="character" w:styleId="CommentReference">
    <w:name w:val="annotation reference"/>
    <w:basedOn w:val="DefaultParagraphFont"/>
    <w:uiPriority w:val="99"/>
    <w:semiHidden/>
    <w:unhideWhenUsed/>
    <w:rsid w:val="006D12F3"/>
    <w:rPr>
      <w:sz w:val="16"/>
      <w:szCs w:val="16"/>
    </w:rPr>
  </w:style>
  <w:style w:type="paragraph" w:styleId="CommentText">
    <w:name w:val="annotation text"/>
    <w:basedOn w:val="Normal"/>
    <w:link w:val="CommentTextChar"/>
    <w:uiPriority w:val="99"/>
    <w:semiHidden/>
    <w:unhideWhenUsed/>
    <w:rsid w:val="006D12F3"/>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D12F3"/>
    <w:rPr>
      <w:sz w:val="20"/>
      <w:szCs w:val="20"/>
    </w:rPr>
  </w:style>
  <w:style w:type="paragraph" w:styleId="BalloonText">
    <w:name w:val="Balloon Text"/>
    <w:basedOn w:val="Normal"/>
    <w:link w:val="BalloonTextChar"/>
    <w:uiPriority w:val="99"/>
    <w:semiHidden/>
    <w:unhideWhenUsed/>
    <w:rsid w:val="006D1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12F3"/>
    <w:pPr>
      <w:spacing w:after="160"/>
    </w:pPr>
    <w:rPr>
      <w:b/>
      <w:bCs/>
    </w:rPr>
  </w:style>
  <w:style w:type="character" w:customStyle="1" w:styleId="CommentSubjectChar">
    <w:name w:val="Comment Subject Char"/>
    <w:basedOn w:val="CommentTextChar"/>
    <w:link w:val="CommentSubject"/>
    <w:uiPriority w:val="99"/>
    <w:semiHidden/>
    <w:rsid w:val="006D12F3"/>
    <w:rPr>
      <w:b/>
      <w:bCs/>
      <w:sz w:val="20"/>
      <w:szCs w:val="20"/>
    </w:rPr>
  </w:style>
  <w:style w:type="character" w:styleId="FollowedHyperlink">
    <w:name w:val="FollowedHyperlink"/>
    <w:basedOn w:val="DefaultParagraphFont"/>
    <w:uiPriority w:val="99"/>
    <w:semiHidden/>
    <w:unhideWhenUsed/>
    <w:rsid w:val="00D129F1"/>
    <w:rPr>
      <w:color w:val="954F72" w:themeColor="followedHyperlink"/>
      <w:u w:val="single"/>
    </w:rPr>
  </w:style>
  <w:style w:type="paragraph" w:styleId="Revision">
    <w:name w:val="Revision"/>
    <w:hidden/>
    <w:uiPriority w:val="99"/>
    <w:semiHidden/>
    <w:rsid w:val="00A8428A"/>
    <w:pPr>
      <w:spacing w:after="0" w:line="240" w:lineRule="auto"/>
    </w:pPr>
  </w:style>
  <w:style w:type="character" w:styleId="FootnoteReference">
    <w:name w:val="footnote reference"/>
    <w:rsid w:val="002F0D30"/>
    <w:rPr>
      <w:vertAlign w:val="superscript"/>
    </w:rPr>
  </w:style>
  <w:style w:type="paragraph" w:styleId="FootnoteText">
    <w:name w:val="footnote text"/>
    <w:link w:val="FootnoteTextChar"/>
    <w:rsid w:val="002F0D3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zh-CN"/>
    </w:rPr>
  </w:style>
  <w:style w:type="character" w:customStyle="1" w:styleId="FootnoteTextChar">
    <w:name w:val="Footnote Text Char"/>
    <w:basedOn w:val="DefaultParagraphFont"/>
    <w:link w:val="FootnoteText"/>
    <w:rsid w:val="002F0D30"/>
    <w:rPr>
      <w:rFonts w:ascii="Times New Roman" w:eastAsia="Times New Roman" w:hAnsi="Times New Roman" w:cs="Times New Roman"/>
      <w:color w:val="000000"/>
      <w:sz w:val="20"/>
      <w:szCs w:val="20"/>
      <w:u w:color="000000"/>
      <w:bdr w:val="nil"/>
      <w:lang w:eastAsia="zh-CN"/>
    </w:rPr>
  </w:style>
  <w:style w:type="paragraph" w:styleId="ListParagraph">
    <w:name w:val="List Paragraph"/>
    <w:basedOn w:val="Normal"/>
    <w:uiPriority w:val="34"/>
    <w:qFormat/>
    <w:rsid w:val="00092CC9"/>
    <w:pPr>
      <w:ind w:left="720"/>
      <w:contextualSpacing/>
    </w:pPr>
  </w:style>
  <w:style w:type="paragraph" w:styleId="Subtitle">
    <w:name w:val="Subtitle"/>
    <w:basedOn w:val="Normal"/>
    <w:next w:val="Normal"/>
    <w:link w:val="SubtitleChar"/>
    <w:uiPriority w:val="11"/>
    <w:qFormat/>
    <w:rsid w:val="00A91D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1DA5"/>
    <w:rPr>
      <w:rFonts w:eastAsiaTheme="minorEastAsia"/>
      <w:color w:val="5A5A5A" w:themeColor="text1" w:themeTint="A5"/>
      <w:spacing w:val="15"/>
    </w:rPr>
  </w:style>
  <w:style w:type="character" w:customStyle="1" w:styleId="apple-converted-space">
    <w:name w:val="apple-converted-space"/>
    <w:basedOn w:val="DefaultParagraphFont"/>
    <w:rsid w:val="00721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CARepor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tc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tca.org/" TargetMode="External"/><Relationship Id="rId5" Type="http://schemas.openxmlformats.org/officeDocument/2006/relationships/footnotes" Target="footnotes.xml"/><Relationship Id="rId10" Type="http://schemas.openxmlformats.org/officeDocument/2006/relationships/hyperlink" Target="http://www.WTCAReports.org" TargetMode="External"/><Relationship Id="rId4" Type="http://schemas.openxmlformats.org/officeDocument/2006/relationships/webSettings" Target="webSettings.xml"/><Relationship Id="rId9" Type="http://schemas.openxmlformats.org/officeDocument/2006/relationships/hyperlink" Target="https://fpgroup.foreignpolicy.com/fpanaly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Marcus</dc:creator>
  <cp:keywords/>
  <dc:description/>
  <cp:lastModifiedBy>Chanelle Kasik</cp:lastModifiedBy>
  <cp:revision>12</cp:revision>
  <dcterms:created xsi:type="dcterms:W3CDTF">2019-06-10T18:27:00Z</dcterms:created>
  <dcterms:modified xsi:type="dcterms:W3CDTF">2019-06-10T21:47:00Z</dcterms:modified>
</cp:coreProperties>
</file>